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F1" w:rsidRPr="00915094" w:rsidRDefault="00F83F83" w:rsidP="00032DB0">
      <w:pPr>
        <w:pStyle w:val="StyleArial16ptGrasCentr"/>
      </w:pPr>
      <w:r w:rsidRPr="00915094">
        <w:t xml:space="preserve">Molecular </w:t>
      </w:r>
      <w:r w:rsidR="00D44304" w:rsidRPr="00915094">
        <w:t xml:space="preserve">Designed </w:t>
      </w:r>
      <w:r w:rsidR="00042780" w:rsidRPr="00915094">
        <w:t>Solid C</w:t>
      </w:r>
      <w:r w:rsidR="00D44304" w:rsidRPr="00915094">
        <w:t>atalysts</w:t>
      </w:r>
      <w:r w:rsidR="00042780" w:rsidRPr="00915094">
        <w:t xml:space="preserve"> for Energy </w:t>
      </w:r>
      <w:r w:rsidR="00915094">
        <w:t>Conversion</w:t>
      </w:r>
    </w:p>
    <w:p w:rsidR="008F17F1" w:rsidRPr="00915094" w:rsidRDefault="00915094" w:rsidP="00BA59DC">
      <w:pPr>
        <w:pStyle w:val="AuthorICCC2016"/>
      </w:pPr>
      <w:r w:rsidRPr="00915094">
        <w:rPr>
          <w:rStyle w:val="PresentingAuthorICCC2016"/>
          <w:u w:val="none"/>
          <w:lang w:val="en-US"/>
        </w:rPr>
        <w:t>Xu Rong</w:t>
      </w:r>
    </w:p>
    <w:p w:rsidR="00AE7C97" w:rsidRDefault="00AE7C97" w:rsidP="00AE7C97">
      <w:pPr>
        <w:pStyle w:val="CorrespondingAuthorICCC2016"/>
        <w:rPr>
          <w:color w:val="000000"/>
        </w:rPr>
      </w:pPr>
      <w:r w:rsidRPr="00915094">
        <w:rPr>
          <w:color w:val="000000"/>
        </w:rPr>
        <w:t>School of Chemical &amp; Biomedical Engineering, Nanyang Technological University, 62 Nanyang Drive, Singapore 637459</w:t>
      </w:r>
    </w:p>
    <w:p w:rsidR="00AE7C97" w:rsidRDefault="00AE7C97" w:rsidP="00AE7C97">
      <w:pPr>
        <w:pStyle w:val="CorrespondingAuthorICCC2016"/>
        <w:rPr>
          <w:color w:val="000000"/>
        </w:rPr>
      </w:pPr>
      <w:r w:rsidRPr="00915094">
        <w:rPr>
          <w:color w:val="000000"/>
        </w:rPr>
        <w:t xml:space="preserve">Email: </w:t>
      </w:r>
      <w:hyperlink r:id="rId7" w:history="1">
        <w:r w:rsidRPr="002B404F">
          <w:rPr>
            <w:rStyle w:val="a7"/>
          </w:rPr>
          <w:t>rxu@ntu.edu.sg</w:t>
        </w:r>
      </w:hyperlink>
    </w:p>
    <w:p w:rsidR="00F83F83" w:rsidRPr="00915094" w:rsidRDefault="00C878CF" w:rsidP="007A5275">
      <w:pPr>
        <w:pStyle w:val="AbstractICCC2016"/>
        <w:spacing w:line="276" w:lineRule="auto"/>
        <w:jc w:val="both"/>
        <w:rPr>
          <w:rFonts w:cs="Arial"/>
          <w:color w:val="000000"/>
        </w:rPr>
      </w:pPr>
      <w:r w:rsidRPr="00915094">
        <w:rPr>
          <w:rFonts w:cs="Arial"/>
          <w:color w:val="000000"/>
        </w:rPr>
        <w:t>To realize efficient conversion of solar energy to chemical energy via photo/electro-chemical processes, one</w:t>
      </w:r>
      <w:r w:rsidRPr="007A081B">
        <w:rPr>
          <w:rFonts w:eastAsia="DengXian" w:cs="Arial"/>
          <w:color w:val="000000"/>
        </w:rPr>
        <w:t xml:space="preserve"> of the grand challenges is </w:t>
      </w:r>
      <w:r w:rsidRPr="00915094">
        <w:rPr>
          <w:rFonts w:cs="Arial"/>
          <w:color w:val="000000"/>
        </w:rPr>
        <w:t xml:space="preserve">to develop low cost, highly active and stable </w:t>
      </w:r>
      <w:r w:rsidRPr="007A081B">
        <w:rPr>
          <w:rFonts w:eastAsia="DengXian" w:cs="Arial"/>
          <w:color w:val="000000"/>
        </w:rPr>
        <w:t xml:space="preserve">catalysts. </w:t>
      </w:r>
      <w:r w:rsidR="002A4602" w:rsidRPr="00915094">
        <w:rPr>
          <w:rFonts w:cs="Arial"/>
          <w:color w:val="000000"/>
        </w:rPr>
        <w:t xml:space="preserve">Our lab is interested in </w:t>
      </w:r>
      <w:r w:rsidR="00F83F83" w:rsidRPr="00915094">
        <w:rPr>
          <w:rFonts w:cs="Arial"/>
          <w:color w:val="000000"/>
        </w:rPr>
        <w:t>design</w:t>
      </w:r>
      <w:r w:rsidR="002A4602" w:rsidRPr="00915094">
        <w:rPr>
          <w:rFonts w:cs="Arial"/>
          <w:color w:val="000000"/>
        </w:rPr>
        <w:t>ing</w:t>
      </w:r>
      <w:r w:rsidR="00F83F83" w:rsidRPr="00915094">
        <w:rPr>
          <w:rFonts w:cs="Arial"/>
          <w:color w:val="000000"/>
        </w:rPr>
        <w:t xml:space="preserve"> solid catalysts with molecularly defined structures and local environment </w:t>
      </w:r>
      <w:r w:rsidR="002A4602" w:rsidRPr="00915094">
        <w:rPr>
          <w:rFonts w:cs="Arial"/>
          <w:color w:val="000000"/>
        </w:rPr>
        <w:t>photocatalytic and electrocatalytic water splitting and CO</w:t>
      </w:r>
      <w:r w:rsidR="002A4602" w:rsidRPr="00915094">
        <w:rPr>
          <w:rFonts w:cs="Arial"/>
          <w:color w:val="000000"/>
          <w:vertAlign w:val="subscript"/>
        </w:rPr>
        <w:t>2</w:t>
      </w:r>
      <w:r w:rsidR="002A4602" w:rsidRPr="00915094">
        <w:rPr>
          <w:rFonts w:cs="Arial"/>
          <w:color w:val="000000"/>
        </w:rPr>
        <w:t xml:space="preserve"> reduction. </w:t>
      </w:r>
      <w:r w:rsidR="00844D65" w:rsidRPr="00915094">
        <w:rPr>
          <w:rFonts w:cs="Arial"/>
          <w:color w:val="000000"/>
        </w:rPr>
        <w:t>The insights obtained from</w:t>
      </w:r>
      <w:r w:rsidR="00F83F83" w:rsidRPr="00915094">
        <w:rPr>
          <w:rFonts w:cs="Arial"/>
          <w:color w:val="000000"/>
        </w:rPr>
        <w:t xml:space="preserve"> uncover</w:t>
      </w:r>
      <w:r w:rsidR="00844D65" w:rsidRPr="00915094">
        <w:rPr>
          <w:rFonts w:cs="Arial"/>
          <w:color w:val="000000"/>
        </w:rPr>
        <w:t>ing</w:t>
      </w:r>
      <w:r w:rsidR="00F83F83" w:rsidRPr="00915094">
        <w:rPr>
          <w:rFonts w:cs="Arial"/>
          <w:color w:val="000000"/>
        </w:rPr>
        <w:t xml:space="preserve"> the origin of the active sites </w:t>
      </w:r>
      <w:r w:rsidR="00844D65" w:rsidRPr="00915094">
        <w:rPr>
          <w:rFonts w:cs="Arial"/>
          <w:color w:val="000000"/>
        </w:rPr>
        <w:t xml:space="preserve">and structure-activity correlation benefit the rational </w:t>
      </w:r>
      <w:r w:rsidR="00B25D72" w:rsidRPr="00915094">
        <w:rPr>
          <w:rFonts w:cs="Arial"/>
          <w:color w:val="000000"/>
        </w:rPr>
        <w:t>catalyst design</w:t>
      </w:r>
      <w:r w:rsidR="00844D65" w:rsidRPr="00915094">
        <w:rPr>
          <w:rFonts w:cs="Arial"/>
          <w:color w:val="000000"/>
        </w:rPr>
        <w:t xml:space="preserve"> to achieve high</w:t>
      </w:r>
      <w:r w:rsidR="00E840D7" w:rsidRPr="00915094">
        <w:rPr>
          <w:rFonts w:cs="Arial"/>
          <w:color w:val="000000"/>
        </w:rPr>
        <w:t xml:space="preserve"> catalytic</w:t>
      </w:r>
      <w:r w:rsidR="00844D65" w:rsidRPr="00915094">
        <w:rPr>
          <w:rFonts w:cs="Arial"/>
          <w:color w:val="000000"/>
        </w:rPr>
        <w:t xml:space="preserve"> performances</w:t>
      </w:r>
      <w:r w:rsidR="00915094" w:rsidRPr="00915094">
        <w:rPr>
          <w:rFonts w:cs="Arial"/>
          <w:color w:val="000000"/>
        </w:rPr>
        <w:t>.</w:t>
      </w:r>
      <w:r w:rsidR="00844D65" w:rsidRPr="00915094">
        <w:rPr>
          <w:rFonts w:cs="Arial"/>
          <w:color w:val="000000"/>
        </w:rPr>
        <w:t>[1-7</w:t>
      </w:r>
      <w:r w:rsidR="00F83F83" w:rsidRPr="00915094">
        <w:rPr>
          <w:rFonts w:cs="Arial"/>
          <w:color w:val="000000"/>
        </w:rPr>
        <w:t>]</w:t>
      </w:r>
      <w:r w:rsidR="002F55D2" w:rsidRPr="00915094">
        <w:rPr>
          <w:rFonts w:cs="Arial"/>
          <w:color w:val="000000"/>
        </w:rPr>
        <w:t xml:space="preserve"> </w:t>
      </w:r>
      <w:r w:rsidR="00844D65" w:rsidRPr="00915094">
        <w:rPr>
          <w:rFonts w:cs="Arial"/>
          <w:color w:val="000000"/>
        </w:rPr>
        <w:t>For example, c</w:t>
      </w:r>
      <w:r w:rsidR="0085184A" w:rsidRPr="00915094">
        <w:rPr>
          <w:rFonts w:cs="Arial"/>
          <w:color w:val="000000"/>
        </w:rPr>
        <w:t xml:space="preserve">obalt phosphonate based metal-organic frameworks (MOFs) </w:t>
      </w:r>
      <w:r w:rsidR="00721382" w:rsidRPr="00915094">
        <w:rPr>
          <w:rFonts w:cs="Arial"/>
          <w:color w:val="000000"/>
        </w:rPr>
        <w:t>were</w:t>
      </w:r>
      <w:r w:rsidR="0085184A" w:rsidRPr="00915094">
        <w:rPr>
          <w:rFonts w:cs="Arial"/>
          <w:color w:val="000000"/>
        </w:rPr>
        <w:t xml:space="preserve"> synthesized to tune the metal-metal and metal-ligand distances. </w:t>
      </w:r>
      <w:r w:rsidR="00721382" w:rsidRPr="00915094">
        <w:rPr>
          <w:rFonts w:cs="Arial"/>
          <w:color w:val="000000"/>
        </w:rPr>
        <w:t>The resultant catalysts demonstrate high performance</w:t>
      </w:r>
      <w:r w:rsidR="00B25D72" w:rsidRPr="00915094">
        <w:rPr>
          <w:rFonts w:cs="Arial"/>
          <w:color w:val="000000"/>
        </w:rPr>
        <w:t>s</w:t>
      </w:r>
      <w:r w:rsidR="00721382" w:rsidRPr="00915094">
        <w:rPr>
          <w:rFonts w:cs="Arial"/>
          <w:color w:val="000000"/>
        </w:rPr>
        <w:t xml:space="preserve"> for photocatalytic </w:t>
      </w:r>
      <w:r w:rsidR="00844D65" w:rsidRPr="00915094">
        <w:rPr>
          <w:rFonts w:cs="Arial"/>
          <w:color w:val="000000"/>
        </w:rPr>
        <w:t>and</w:t>
      </w:r>
      <w:r w:rsidR="00721382" w:rsidRPr="00915094">
        <w:rPr>
          <w:rFonts w:cs="Arial"/>
          <w:color w:val="000000"/>
        </w:rPr>
        <w:t xml:space="preserve"> electrocatalytic oxygen evolution reaction (OER).</w:t>
      </w:r>
      <w:r w:rsidR="00915094" w:rsidRPr="00915094">
        <w:rPr>
          <w:rFonts w:cs="Arial"/>
          <w:color w:val="000000"/>
        </w:rPr>
        <w:t>[2,3]</w:t>
      </w:r>
      <w:r w:rsidR="00721382" w:rsidRPr="00915094">
        <w:rPr>
          <w:rFonts w:cs="Arial"/>
          <w:color w:val="000000"/>
        </w:rPr>
        <w:t xml:space="preserve"> </w:t>
      </w:r>
      <w:r w:rsidR="00844D65" w:rsidRPr="00915094">
        <w:rPr>
          <w:rFonts w:cs="Arial"/>
          <w:color w:val="000000"/>
        </w:rPr>
        <w:t xml:space="preserve">A review </w:t>
      </w:r>
      <w:r w:rsidR="00B25D72" w:rsidRPr="00915094">
        <w:rPr>
          <w:rFonts w:cs="Arial"/>
          <w:color w:val="000000"/>
        </w:rPr>
        <w:t>article</w:t>
      </w:r>
      <w:r w:rsidR="00844D65" w:rsidRPr="00915094">
        <w:rPr>
          <w:rFonts w:cs="Arial"/>
          <w:color w:val="000000"/>
        </w:rPr>
        <w:t xml:space="preserve"> was recently contributed</w:t>
      </w:r>
      <w:r w:rsidR="00B25D72" w:rsidRPr="00915094">
        <w:rPr>
          <w:rFonts w:cs="Arial"/>
          <w:color w:val="000000"/>
        </w:rPr>
        <w:t xml:space="preserve"> </w:t>
      </w:r>
      <w:r w:rsidR="00844D65" w:rsidRPr="00915094">
        <w:rPr>
          <w:rFonts w:cs="Arial"/>
          <w:color w:val="000000"/>
        </w:rPr>
        <w:t xml:space="preserve">by our group </w:t>
      </w:r>
      <w:r w:rsidR="00B25D72" w:rsidRPr="00915094">
        <w:rPr>
          <w:rFonts w:cs="Arial"/>
          <w:color w:val="000000"/>
        </w:rPr>
        <w:t xml:space="preserve">to summarize the recent key progress achieved </w:t>
      </w:r>
      <w:r w:rsidR="00844D65" w:rsidRPr="00915094">
        <w:rPr>
          <w:rFonts w:cs="Arial"/>
          <w:color w:val="000000"/>
        </w:rPr>
        <w:t xml:space="preserve">including our own works </w:t>
      </w:r>
      <w:r w:rsidR="00B25D72" w:rsidRPr="00915094">
        <w:rPr>
          <w:rFonts w:cs="Arial"/>
          <w:color w:val="000000"/>
        </w:rPr>
        <w:t xml:space="preserve">in designing MOFs and COFs based molecular solid catalysts and the mechanistic understanding of the catalytic centers and associated reaction </w:t>
      </w:r>
      <w:r w:rsidR="007A5275" w:rsidRPr="00915094">
        <w:rPr>
          <w:rFonts w:cs="Arial"/>
          <w:color w:val="000000"/>
        </w:rPr>
        <w:t>pathways for a broad range of reactions</w:t>
      </w:r>
      <w:r w:rsidR="00B25D72" w:rsidRPr="00915094">
        <w:rPr>
          <w:rFonts w:cs="Arial"/>
          <w:color w:val="000000"/>
        </w:rPr>
        <w:t>.</w:t>
      </w:r>
      <w:r w:rsidR="00915094" w:rsidRPr="00915094">
        <w:rPr>
          <w:rFonts w:cs="Arial"/>
          <w:color w:val="000000"/>
        </w:rPr>
        <w:t>[7]</w:t>
      </w:r>
    </w:p>
    <w:p w:rsidR="007A5275" w:rsidRPr="00915094" w:rsidRDefault="007A5275" w:rsidP="00D92341">
      <w:pPr>
        <w:pStyle w:val="AbstractICCC2016"/>
        <w:jc w:val="both"/>
        <w:rPr>
          <w:rFonts w:cs="Arial"/>
          <w:color w:val="000000"/>
          <w:sz w:val="20"/>
        </w:rPr>
      </w:pPr>
    </w:p>
    <w:p w:rsidR="00844D65" w:rsidRPr="00915094" w:rsidRDefault="00844D65" w:rsidP="00F83F83">
      <w:pPr>
        <w:pStyle w:val="-1"/>
        <w:numPr>
          <w:ilvl w:val="0"/>
          <w:numId w:val="1"/>
        </w:numPr>
        <w:spacing w:line="260" w:lineRule="exact"/>
        <w:jc w:val="both"/>
        <w:rPr>
          <w:rFonts w:ascii="Arial" w:hAnsi="Arial" w:cs="Arial"/>
          <w:color w:val="000000"/>
          <w:sz w:val="20"/>
          <w:szCs w:val="20"/>
          <w:lang w:val="en-US"/>
        </w:rPr>
      </w:pPr>
      <w:r w:rsidRPr="00915094">
        <w:rPr>
          <w:rFonts w:ascii="Arial" w:eastAsia="Times New Roman" w:hAnsi="Arial" w:cs="Arial"/>
          <w:color w:val="000000"/>
          <w:sz w:val="20"/>
          <w:szCs w:val="20"/>
          <w:lang w:val="en-US"/>
        </w:rPr>
        <w:t xml:space="preserve">Zhou, T. H., Du, Y. H., Borgna, A, Hong, J. D., Wang, Y. B., Han, J. Y., Zhang, W., Xu, R.*, Post-Synthesis Modification of Metal-Organic Frameworks to Construct a Bifunctional Photocatalyst for Hydrogen Production, </w:t>
      </w:r>
      <w:r w:rsidRPr="00915094">
        <w:rPr>
          <w:rFonts w:ascii="Arial" w:eastAsia="Times New Roman" w:hAnsi="Arial" w:cs="Arial"/>
          <w:color w:val="000000"/>
          <w:sz w:val="20"/>
          <w:szCs w:val="20"/>
          <w:u w:val="single"/>
          <w:lang w:val="en-US"/>
        </w:rPr>
        <w:t>Energy Environ. Sci,</w:t>
      </w:r>
      <w:r w:rsidRPr="00915094">
        <w:rPr>
          <w:rFonts w:ascii="Arial" w:eastAsia="Times New Roman" w:hAnsi="Arial" w:cs="Arial"/>
          <w:color w:val="000000"/>
          <w:sz w:val="20"/>
          <w:szCs w:val="20"/>
          <w:lang w:val="en-US"/>
        </w:rPr>
        <w:t xml:space="preserve"> 6, 3229 - 3234, 2013.</w:t>
      </w:r>
    </w:p>
    <w:p w:rsidR="00F83F83" w:rsidRPr="00915094" w:rsidRDefault="00F83F83" w:rsidP="00F83F83">
      <w:pPr>
        <w:pStyle w:val="-1"/>
        <w:numPr>
          <w:ilvl w:val="0"/>
          <w:numId w:val="1"/>
        </w:numPr>
        <w:spacing w:line="260" w:lineRule="exact"/>
        <w:jc w:val="both"/>
        <w:rPr>
          <w:rFonts w:ascii="Arial" w:hAnsi="Arial" w:cs="Arial"/>
          <w:color w:val="000000"/>
          <w:sz w:val="20"/>
          <w:szCs w:val="20"/>
          <w:lang w:val="en-US"/>
        </w:rPr>
      </w:pPr>
      <w:r w:rsidRPr="00915094">
        <w:rPr>
          <w:rFonts w:ascii="Arial" w:eastAsia="Times New Roman" w:hAnsi="Arial" w:cs="Arial"/>
          <w:color w:val="000000"/>
          <w:sz w:val="20"/>
          <w:szCs w:val="20"/>
          <w:lang w:val="en-US"/>
        </w:rPr>
        <w:t xml:space="preserve">Zhou, T. H., Wang, D. P., Goh, S. C. K., Hong, J. D., Han, J. Y., Mao, J. G.*, Xu, R.*, Bio-inspired organic cobalt(II) phosphonates toward water oxidation, </w:t>
      </w:r>
      <w:r w:rsidRPr="00915094">
        <w:rPr>
          <w:rFonts w:ascii="Arial" w:eastAsia="Times New Roman" w:hAnsi="Arial" w:cs="Arial"/>
          <w:color w:val="000000"/>
          <w:sz w:val="20"/>
          <w:szCs w:val="20"/>
          <w:u w:val="single"/>
          <w:lang w:val="en-US"/>
        </w:rPr>
        <w:t>Energy Environ. Sci.</w:t>
      </w:r>
      <w:r w:rsidRPr="00915094">
        <w:rPr>
          <w:rFonts w:ascii="Arial" w:eastAsia="Times New Roman" w:hAnsi="Arial" w:cs="Arial"/>
          <w:color w:val="000000"/>
          <w:sz w:val="20"/>
          <w:szCs w:val="20"/>
          <w:lang w:val="en-US"/>
        </w:rPr>
        <w:t>, 8, 526-534, 2015.</w:t>
      </w:r>
    </w:p>
    <w:p w:rsidR="00F83F83" w:rsidRPr="00915094" w:rsidRDefault="00F83F83" w:rsidP="00F83F83">
      <w:pPr>
        <w:pStyle w:val="-1"/>
        <w:numPr>
          <w:ilvl w:val="0"/>
          <w:numId w:val="1"/>
        </w:numPr>
        <w:spacing w:line="260" w:lineRule="exact"/>
        <w:jc w:val="both"/>
        <w:rPr>
          <w:rFonts w:ascii="Arial" w:hAnsi="Arial" w:cs="Arial"/>
          <w:color w:val="000000"/>
          <w:sz w:val="20"/>
          <w:szCs w:val="20"/>
          <w:lang w:val="en-US"/>
        </w:rPr>
      </w:pPr>
      <w:r w:rsidRPr="00915094">
        <w:rPr>
          <w:rFonts w:ascii="Arial" w:hAnsi="Arial" w:cs="Arial"/>
          <w:color w:val="000000"/>
          <w:sz w:val="20"/>
          <w:szCs w:val="20"/>
          <w:lang w:val="en-US"/>
        </w:rPr>
        <w:t xml:space="preserve">Zhou, T. H., Du, Y. H., Wang, D. P., Yin, S. M., Tu, W. G., Chen, Z., Borgna, A., Xu, R.,* Phosphonate-Based Metal-Organic Framework Derived Co-P-C Hybrid as an Efficient Electrocatalyst for Oxygen Evolution Reaction, </w:t>
      </w:r>
      <w:r w:rsidRPr="00915094">
        <w:rPr>
          <w:rFonts w:ascii="Arial" w:hAnsi="Arial" w:cs="Arial"/>
          <w:color w:val="000000"/>
          <w:sz w:val="20"/>
          <w:szCs w:val="20"/>
          <w:u w:val="single"/>
          <w:lang w:val="en-US"/>
        </w:rPr>
        <w:t>ACS Catal.</w:t>
      </w:r>
      <w:r w:rsidRPr="00915094">
        <w:rPr>
          <w:rFonts w:ascii="Arial" w:hAnsi="Arial" w:cs="Arial"/>
          <w:color w:val="000000"/>
          <w:sz w:val="20"/>
          <w:szCs w:val="20"/>
          <w:lang w:val="en-US"/>
        </w:rPr>
        <w:t xml:space="preserve">, 2017, </w:t>
      </w:r>
      <w:r w:rsidR="002A5B6F" w:rsidRPr="00915094">
        <w:rPr>
          <w:rFonts w:ascii="Arial" w:eastAsia="BatangChe" w:hAnsi="Arial" w:cs="Arial"/>
          <w:color w:val="000000"/>
          <w:kern w:val="2"/>
          <w:sz w:val="20"/>
          <w:szCs w:val="20"/>
          <w:lang w:val="en-US" w:eastAsia="ko-KR"/>
        </w:rPr>
        <w:t>7, 6000-6007</w:t>
      </w:r>
      <w:r w:rsidRPr="00915094">
        <w:rPr>
          <w:rFonts w:ascii="Arial" w:hAnsi="Arial" w:cs="Arial"/>
          <w:color w:val="000000"/>
          <w:sz w:val="20"/>
          <w:szCs w:val="20"/>
          <w:lang w:val="en-US"/>
        </w:rPr>
        <w:t>.</w:t>
      </w:r>
    </w:p>
    <w:p w:rsidR="004B0815" w:rsidRPr="00915094" w:rsidRDefault="00F83F83" w:rsidP="004B0815">
      <w:pPr>
        <w:pStyle w:val="-1"/>
        <w:numPr>
          <w:ilvl w:val="0"/>
          <w:numId w:val="1"/>
        </w:numPr>
        <w:spacing w:line="260" w:lineRule="exact"/>
        <w:jc w:val="both"/>
        <w:rPr>
          <w:rStyle w:val="article-headermeta-info-data"/>
          <w:rFonts w:ascii="Arial" w:hAnsi="Arial" w:cs="Arial"/>
          <w:color w:val="000000"/>
          <w:sz w:val="20"/>
          <w:szCs w:val="20"/>
          <w:lang w:val="en-US"/>
        </w:rPr>
      </w:pPr>
      <w:r w:rsidRPr="00915094">
        <w:rPr>
          <w:rFonts w:ascii="Arial" w:hAnsi="Arial" w:cs="Arial"/>
          <w:color w:val="000000"/>
          <w:sz w:val="20"/>
          <w:szCs w:val="20"/>
          <w:lang w:val="en-US"/>
        </w:rPr>
        <w:t xml:space="preserve">Yin, S. M., Du, Y. H., Sheng, Y., Tu, W. G., Kraft, M., Borgna, A., Xu, R.*, Highly Efficient Oxygen Evolution Catalyst Consisting of Interconnected Nickel-Iron Layered Double Hydroxide and Carbon Nanodomains, </w:t>
      </w:r>
      <w:r w:rsidRPr="00915094">
        <w:rPr>
          <w:rFonts w:ascii="Arial" w:hAnsi="Arial" w:cs="Arial"/>
          <w:color w:val="000000"/>
          <w:sz w:val="20"/>
          <w:szCs w:val="20"/>
          <w:u w:val="single"/>
          <w:lang w:val="en-US"/>
        </w:rPr>
        <w:t>Adv. Mater.</w:t>
      </w:r>
      <w:r w:rsidR="002A5B6F" w:rsidRPr="00915094">
        <w:rPr>
          <w:rFonts w:ascii="Arial" w:hAnsi="Arial" w:cs="Arial"/>
          <w:color w:val="000000"/>
          <w:sz w:val="20"/>
          <w:szCs w:val="20"/>
          <w:lang w:val="en-US"/>
        </w:rPr>
        <w:t>, 2018</w:t>
      </w:r>
      <w:r w:rsidRPr="00915094">
        <w:rPr>
          <w:rFonts w:ascii="Arial" w:hAnsi="Arial" w:cs="Arial"/>
          <w:color w:val="000000"/>
          <w:sz w:val="20"/>
          <w:szCs w:val="20"/>
          <w:lang w:val="en-US"/>
        </w:rPr>
        <w:t xml:space="preserve">, </w:t>
      </w:r>
      <w:r w:rsidRPr="00915094">
        <w:rPr>
          <w:rStyle w:val="article-headermeta-info-label"/>
          <w:rFonts w:ascii="Arial" w:hAnsi="Arial" w:cs="Arial"/>
          <w:color w:val="000000"/>
          <w:sz w:val="20"/>
          <w:szCs w:val="20"/>
          <w:lang w:val="en-US"/>
        </w:rPr>
        <w:t xml:space="preserve">DOI: </w:t>
      </w:r>
      <w:r w:rsidRPr="00915094">
        <w:rPr>
          <w:rStyle w:val="article-headermeta-info-data"/>
          <w:rFonts w:ascii="Arial" w:hAnsi="Arial" w:cs="Arial"/>
          <w:color w:val="000000"/>
          <w:sz w:val="20"/>
          <w:szCs w:val="20"/>
          <w:lang w:val="en-US"/>
        </w:rPr>
        <w:t>10.1002/adma.201705106.</w:t>
      </w:r>
    </w:p>
    <w:p w:rsidR="00844D65" w:rsidRPr="00915094" w:rsidRDefault="00B96BA5" w:rsidP="004B0815">
      <w:pPr>
        <w:pStyle w:val="-1"/>
        <w:numPr>
          <w:ilvl w:val="0"/>
          <w:numId w:val="1"/>
        </w:numPr>
        <w:spacing w:line="260" w:lineRule="exact"/>
        <w:jc w:val="both"/>
        <w:rPr>
          <w:rStyle w:val="article-headermeta-info-data"/>
          <w:rFonts w:ascii="Arial" w:hAnsi="Arial" w:cs="Arial"/>
          <w:color w:val="000000"/>
          <w:sz w:val="20"/>
          <w:szCs w:val="20"/>
          <w:lang w:val="en-US"/>
        </w:rPr>
      </w:pPr>
      <w:r w:rsidRPr="00915094">
        <w:rPr>
          <w:rFonts w:ascii="Arial" w:eastAsia="Times New Roman" w:hAnsi="Arial" w:cs="Arial"/>
          <w:color w:val="000000"/>
          <w:sz w:val="20"/>
          <w:szCs w:val="20"/>
          <w:lang w:val="en-US"/>
        </w:rPr>
        <w:t xml:space="preserve">Xu, Y., Tu, W. G., Zhang, B. W., Yin, S. M., Huang, Y. Z., Kraft, M. Xu, R.*, Nickel Nanoparticles Encapsulated in Few-layer Nitrogen-doped Graphene Derived from Metal-organic Frameworks as Efficient Bifunctional Electrocatalysts for Overall Water Splitting, </w:t>
      </w:r>
      <w:r w:rsidRPr="00915094">
        <w:rPr>
          <w:rFonts w:ascii="Arial" w:eastAsia="Times New Roman" w:hAnsi="Arial" w:cs="Arial"/>
          <w:color w:val="000000"/>
          <w:sz w:val="20"/>
          <w:szCs w:val="20"/>
          <w:u w:val="single"/>
          <w:lang w:val="en-US"/>
        </w:rPr>
        <w:t>Adv. Mater.</w:t>
      </w:r>
      <w:r w:rsidRPr="00915094">
        <w:rPr>
          <w:rFonts w:ascii="Arial" w:eastAsia="Times New Roman" w:hAnsi="Arial" w:cs="Arial"/>
          <w:color w:val="000000"/>
          <w:sz w:val="20"/>
          <w:szCs w:val="20"/>
          <w:lang w:val="en-US"/>
        </w:rPr>
        <w:t>, 2017, DOI: 10.1002/adma.201605957.</w:t>
      </w:r>
    </w:p>
    <w:p w:rsidR="004B0815" w:rsidRPr="00915094" w:rsidRDefault="00F83F83" w:rsidP="004B0815">
      <w:pPr>
        <w:pStyle w:val="-1"/>
        <w:numPr>
          <w:ilvl w:val="0"/>
          <w:numId w:val="1"/>
        </w:numPr>
        <w:spacing w:line="260" w:lineRule="exact"/>
        <w:jc w:val="both"/>
        <w:rPr>
          <w:rFonts w:ascii="Arial" w:hAnsi="Arial" w:cs="Arial"/>
          <w:color w:val="000000"/>
          <w:sz w:val="20"/>
          <w:szCs w:val="20"/>
          <w:lang w:val="en-US"/>
        </w:rPr>
      </w:pPr>
      <w:r w:rsidRPr="00915094">
        <w:rPr>
          <w:rFonts w:ascii="Arial" w:hAnsi="Arial" w:cs="Arial"/>
          <w:color w:val="000000"/>
          <w:sz w:val="20"/>
          <w:szCs w:val="20"/>
          <w:lang w:val="en-US"/>
        </w:rPr>
        <w:t>Niu, K. Y., Xu, Y., Wang, H. C., Ye, R., Xin, H. L., Lin, F., Tian, C. X., Lum, Y. W., Bustillo, K. C., Doeff, M. M., Koper, M., Ager, J., Xu, R.,* Zheng, H. M.,* A spongy nickel-organic CO</w:t>
      </w:r>
      <w:r w:rsidRPr="00915094">
        <w:rPr>
          <w:rFonts w:ascii="Arial" w:hAnsi="Arial" w:cs="Arial"/>
          <w:color w:val="000000"/>
          <w:sz w:val="20"/>
          <w:szCs w:val="20"/>
          <w:vertAlign w:val="subscript"/>
          <w:lang w:val="en-US"/>
        </w:rPr>
        <w:t>2</w:t>
      </w:r>
      <w:r w:rsidRPr="00915094">
        <w:rPr>
          <w:rFonts w:ascii="Arial" w:hAnsi="Arial" w:cs="Arial"/>
          <w:color w:val="000000"/>
          <w:sz w:val="20"/>
          <w:szCs w:val="20"/>
          <w:lang w:val="en-US"/>
        </w:rPr>
        <w:t xml:space="preserve"> reduction photocatalyst for nearly 100% selective CO production, </w:t>
      </w:r>
      <w:r w:rsidRPr="00915094">
        <w:rPr>
          <w:rFonts w:ascii="Arial" w:hAnsi="Arial" w:cs="Arial"/>
          <w:color w:val="000000"/>
          <w:sz w:val="20"/>
          <w:szCs w:val="20"/>
          <w:u w:val="single"/>
          <w:lang w:val="en-US"/>
        </w:rPr>
        <w:t>Sci. Adv.</w:t>
      </w:r>
      <w:r w:rsidRPr="00915094">
        <w:rPr>
          <w:rFonts w:ascii="Arial" w:hAnsi="Arial" w:cs="Arial"/>
          <w:color w:val="000000"/>
          <w:sz w:val="20"/>
          <w:szCs w:val="20"/>
          <w:lang w:val="en-US"/>
        </w:rPr>
        <w:t>, 2017, DOI: 10.1021/ja00480a012.</w:t>
      </w:r>
    </w:p>
    <w:p w:rsidR="00A83859" w:rsidRPr="00915094" w:rsidRDefault="004B0815" w:rsidP="00032DB0">
      <w:pPr>
        <w:pStyle w:val="-1"/>
        <w:numPr>
          <w:ilvl w:val="0"/>
          <w:numId w:val="1"/>
        </w:numPr>
        <w:spacing w:line="260" w:lineRule="exact"/>
        <w:jc w:val="both"/>
        <w:rPr>
          <w:rFonts w:ascii="Arial" w:hAnsi="Arial" w:cs="Arial"/>
          <w:color w:val="000000"/>
          <w:sz w:val="20"/>
          <w:szCs w:val="20"/>
          <w:lang w:val="en-US"/>
        </w:rPr>
      </w:pPr>
      <w:r w:rsidRPr="00915094">
        <w:rPr>
          <w:rFonts w:ascii="Arial" w:hAnsi="Arial" w:cs="Arial"/>
          <w:color w:val="000000"/>
          <w:sz w:val="20"/>
          <w:szCs w:val="20"/>
          <w:lang w:val="en-US"/>
        </w:rPr>
        <w:t xml:space="preserve">Tu, W. G., Xu, Y., Yin, S. M., Xu. R.*, </w:t>
      </w:r>
      <w:r w:rsidRPr="00915094">
        <w:rPr>
          <w:rFonts w:ascii="Arial" w:hAnsi="Arial" w:cs="Arial"/>
          <w:bCs/>
          <w:color w:val="000000"/>
          <w:sz w:val="20"/>
          <w:szCs w:val="20"/>
          <w:lang w:val="en-US"/>
        </w:rPr>
        <w:t xml:space="preserve">Rational design of catalytic centers on crystalline frameworks, </w:t>
      </w:r>
      <w:r w:rsidRPr="00915094">
        <w:rPr>
          <w:rFonts w:ascii="Arial" w:hAnsi="Arial" w:cs="Arial"/>
          <w:bCs/>
          <w:color w:val="000000"/>
          <w:sz w:val="20"/>
          <w:szCs w:val="20"/>
          <w:u w:val="single"/>
          <w:lang w:val="en-US"/>
        </w:rPr>
        <w:t>Adv. Mater.</w:t>
      </w:r>
      <w:r w:rsidRPr="00915094">
        <w:rPr>
          <w:rFonts w:ascii="Arial" w:hAnsi="Arial" w:cs="Arial"/>
          <w:bCs/>
          <w:color w:val="000000"/>
          <w:sz w:val="20"/>
          <w:szCs w:val="20"/>
          <w:lang w:val="en-US"/>
        </w:rPr>
        <w:t xml:space="preserve">, 2018, </w:t>
      </w:r>
      <w:r w:rsidR="002A5B6F" w:rsidRPr="00915094">
        <w:rPr>
          <w:rFonts w:ascii="Arial" w:hAnsi="Arial" w:cs="Arial"/>
          <w:bCs/>
          <w:color w:val="000000"/>
          <w:sz w:val="20"/>
          <w:szCs w:val="20"/>
          <w:lang w:val="en-US"/>
        </w:rPr>
        <w:t>DOI: 10.1002/adma.201707582</w:t>
      </w:r>
      <w:r w:rsidRPr="00915094">
        <w:rPr>
          <w:rFonts w:ascii="Arial" w:hAnsi="Arial" w:cs="Arial"/>
          <w:bCs/>
          <w:color w:val="000000"/>
          <w:sz w:val="20"/>
          <w:szCs w:val="20"/>
          <w:lang w:val="en-US"/>
        </w:rPr>
        <w:t>.</w:t>
      </w:r>
      <w:r w:rsidRPr="00915094">
        <w:rPr>
          <w:rFonts w:ascii="Arial" w:hAnsi="Arial" w:cs="Arial"/>
          <w:color w:val="000000"/>
          <w:sz w:val="20"/>
          <w:szCs w:val="20"/>
          <w:lang w:val="en-US"/>
        </w:rPr>
        <w:t xml:space="preserve">  </w:t>
      </w:r>
    </w:p>
    <w:p w:rsidR="00F451C4" w:rsidRDefault="00F451C4" w:rsidP="00F451C4">
      <w:pPr>
        <w:pStyle w:val="StyleArial16ptGrasCentr"/>
        <w:rPr>
          <w:rFonts w:eastAsiaTheme="minorEastAsia" w:cs="Arial" w:hint="eastAsia"/>
          <w:b w:val="0"/>
          <w:sz w:val="28"/>
          <w:szCs w:val="28"/>
        </w:rPr>
      </w:pPr>
    </w:p>
    <w:p w:rsidR="00F451C4" w:rsidRDefault="00F451C4" w:rsidP="00F451C4">
      <w:pPr>
        <w:pStyle w:val="StyleArial16ptGrasCentr"/>
        <w:rPr>
          <w:rFonts w:eastAsiaTheme="minorEastAsia" w:cs="Arial" w:hint="eastAsia"/>
          <w:b w:val="0"/>
          <w:sz w:val="28"/>
          <w:szCs w:val="28"/>
        </w:rPr>
      </w:pPr>
    </w:p>
    <w:p w:rsidR="00915094" w:rsidRPr="00915094" w:rsidRDefault="00D236B3" w:rsidP="00F451C4">
      <w:pPr>
        <w:pStyle w:val="StyleArial16ptGrasCentr"/>
        <w:rPr>
          <w:rFonts w:cs="Arial"/>
          <w:b w:val="0"/>
          <w:sz w:val="28"/>
          <w:szCs w:val="28"/>
        </w:rPr>
      </w:pPr>
      <w:r>
        <w:rPr>
          <w:rFonts w:cs="Arial"/>
          <w:b w:val="0"/>
          <w:sz w:val="28"/>
          <w:szCs w:val="28"/>
        </w:rPr>
        <w:lastRenderedPageBreak/>
        <w:t>Short b</w:t>
      </w:r>
      <w:r w:rsidR="00915094" w:rsidRPr="00915094">
        <w:rPr>
          <w:rFonts w:cs="Arial"/>
          <w:b w:val="0"/>
          <w:sz w:val="28"/>
          <w:szCs w:val="28"/>
        </w:rPr>
        <w:t>iograph</w:t>
      </w:r>
      <w:r w:rsidR="00915094">
        <w:rPr>
          <w:rFonts w:cs="Arial"/>
          <w:b w:val="0"/>
          <w:sz w:val="28"/>
          <w:szCs w:val="28"/>
        </w:rPr>
        <w:t>y</w:t>
      </w:r>
      <w:r w:rsidR="00915094" w:rsidRPr="00915094">
        <w:rPr>
          <w:rFonts w:cs="Arial"/>
          <w:b w:val="0"/>
          <w:sz w:val="28"/>
          <w:szCs w:val="28"/>
        </w:rPr>
        <w:t xml:space="preserve"> </w:t>
      </w:r>
    </w:p>
    <w:p w:rsidR="00915094" w:rsidRPr="00915094" w:rsidRDefault="00915094" w:rsidP="00915094">
      <w:pPr>
        <w:pStyle w:val="a8"/>
        <w:spacing w:line="300" w:lineRule="auto"/>
        <w:ind w:firstLineChars="0" w:firstLine="0"/>
        <w:rPr>
          <w:rFonts w:ascii="Arial" w:hAnsi="Arial" w:cs="Arial"/>
          <w:b/>
          <w:sz w:val="22"/>
          <w:szCs w:val="22"/>
          <w:lang w:val="en-US" w:eastAsia="zh-CN"/>
        </w:rPr>
      </w:pPr>
    </w:p>
    <w:p w:rsidR="00915094" w:rsidRPr="00915094" w:rsidRDefault="00F451C4" w:rsidP="00915094">
      <w:pPr>
        <w:jc w:val="both"/>
        <w:rPr>
          <w:rFonts w:ascii="Arial" w:eastAsia="DengXian" w:hAnsi="Arial" w:cs="Arial"/>
          <w:bCs/>
          <w:sz w:val="22"/>
          <w:szCs w:val="22"/>
          <w:lang w:val="en-US"/>
        </w:rPr>
      </w:pPr>
      <w:r>
        <w:rPr>
          <w:noProof/>
          <w:lang w:val="en-US"/>
        </w:rPr>
        <w:drawing>
          <wp:anchor distT="0" distB="0" distL="114300" distR="114300" simplePos="0" relativeHeight="251657728" behindDoc="0" locked="0" layoutInCell="1" allowOverlap="1">
            <wp:simplePos x="0" y="0"/>
            <wp:positionH relativeFrom="column">
              <wp:posOffset>4691380</wp:posOffset>
            </wp:positionH>
            <wp:positionV relativeFrom="paragraph">
              <wp:posOffset>53340</wp:posOffset>
            </wp:positionV>
            <wp:extent cx="1277620" cy="1779270"/>
            <wp:effectExtent l="19050" t="0" r="0" b="0"/>
            <wp:wrapSquare wrapText="bothSides"/>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cstate="print"/>
                    <a:srcRect l="9119" b="15891"/>
                    <a:stretch>
                      <a:fillRect/>
                    </a:stretch>
                  </pic:blipFill>
                  <pic:spPr bwMode="auto">
                    <a:xfrm>
                      <a:off x="0" y="0"/>
                      <a:ext cx="1277620" cy="1779270"/>
                    </a:xfrm>
                    <a:prstGeom prst="rect">
                      <a:avLst/>
                    </a:prstGeom>
                    <a:noFill/>
                    <a:ln w="9525">
                      <a:noFill/>
                      <a:miter lim="800000"/>
                      <a:headEnd/>
                      <a:tailEnd/>
                    </a:ln>
                  </pic:spPr>
                </pic:pic>
              </a:graphicData>
            </a:graphic>
          </wp:anchor>
        </w:drawing>
      </w:r>
      <w:r w:rsidR="00915094" w:rsidRPr="00915094">
        <w:rPr>
          <w:rFonts w:ascii="Arial" w:eastAsia="DengXian" w:hAnsi="Arial" w:cs="Arial"/>
          <w:bCs/>
          <w:sz w:val="22"/>
          <w:szCs w:val="22"/>
          <w:lang w:val="en-US"/>
        </w:rPr>
        <w:t xml:space="preserve">Xu Rong received her Bachelor, Master and Ph.D. degrees in Chemical Engineering from National University of Singapore. She joined Nanyang Technological University (NTU) as an Assistant Professor in 2004 and was promoted to Associate Professor in 2010 and Professor in 2017. Her lab has actively worked in the field of catalysis for energy and environmental applications. To date, she have published over 150 papers in top tier journals including Journal of the American Chemical Society, Advanced Materials, Angewandte Chemie, Energy &amp; Environmental Sciences, Science Advances, ACS Nano, Chemical Society Review and so on. Her citation and H-index are &gt;9800 and 58 (Web of Science). She received Top-Cited Papers Award (2010 and 2011) from Elsevier for her paper published in Applied Catalysis B: Environmental. Recently, her work on metal sulfide photocatalyst was featured in a themed collection 'Celebrating excellence in Dalton Transactions – women of inorganic chemistry’ (2018), Royal Society of Chemistry. She is currently an Associate Editor of EnergyChem, a new journal of Elsevier. She is also an Editorial Board Member of ACS Sustainable Chemistry &amp; Engineering. She has served as the Associate Chair Research (2011-2014) and Chair (2017-2019) of the School of Chemical &amp; Biomedical Engineering, NTU. She is also the founding Director of Singapore Energy Centre (SgEC), </w:t>
      </w:r>
      <w:r w:rsidR="00915094" w:rsidRPr="00915094">
        <w:rPr>
          <w:rFonts w:ascii="Arial" w:eastAsia="BatangChe" w:hAnsi="Arial" w:cs="Arial"/>
          <w:kern w:val="2"/>
          <w:sz w:val="22"/>
          <w:szCs w:val="22"/>
          <w:lang w:val="en-US" w:eastAsia="ko-KR"/>
        </w:rPr>
        <w:t xml:space="preserve">an industrial consortium with its mission to develop innovative solutions to meet the growing energy demand through </w:t>
      </w:r>
      <w:r w:rsidR="00915094">
        <w:rPr>
          <w:rFonts w:ascii="Arial" w:eastAsia="BatangChe" w:hAnsi="Arial" w:cs="Arial"/>
          <w:kern w:val="2"/>
          <w:sz w:val="22"/>
          <w:szCs w:val="22"/>
          <w:lang w:val="en-US" w:eastAsia="ko-KR"/>
        </w:rPr>
        <w:t xml:space="preserve">collaborations between academia and industry </w:t>
      </w:r>
      <w:r w:rsidR="00915094" w:rsidRPr="00915094">
        <w:rPr>
          <w:rFonts w:ascii="Arial" w:eastAsia="BatangChe" w:hAnsi="Arial" w:cs="Arial"/>
          <w:kern w:val="2"/>
          <w:sz w:val="22"/>
          <w:szCs w:val="22"/>
          <w:lang w:val="en-US" w:eastAsia="ko-KR"/>
        </w:rPr>
        <w:t>.</w:t>
      </w:r>
    </w:p>
    <w:p w:rsidR="009A7D4A" w:rsidRPr="00915094" w:rsidRDefault="009A7D4A" w:rsidP="002A5B6F">
      <w:pPr>
        <w:pStyle w:val="-1"/>
        <w:spacing w:line="260" w:lineRule="exact"/>
        <w:ind w:left="360"/>
        <w:jc w:val="both"/>
        <w:rPr>
          <w:rFonts w:ascii="Arial" w:hAnsi="Arial"/>
          <w:sz w:val="20"/>
          <w:szCs w:val="20"/>
          <w:lang w:val="en-US"/>
        </w:rPr>
      </w:pPr>
    </w:p>
    <w:sectPr w:rsidR="009A7D4A" w:rsidRPr="00915094" w:rsidSect="00553840">
      <w:pgSz w:w="11906" w:h="16838"/>
      <w:pgMar w:top="1417" w:right="1152" w:bottom="1417" w:left="11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9D" w:rsidRDefault="00D24E9D">
      <w:r>
        <w:separator/>
      </w:r>
    </w:p>
  </w:endnote>
  <w:endnote w:type="continuationSeparator" w:id="0">
    <w:p w:rsidR="00D24E9D" w:rsidRDefault="00D24E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9D" w:rsidRDefault="00D24E9D">
      <w:r>
        <w:separator/>
      </w:r>
    </w:p>
  </w:footnote>
  <w:footnote w:type="continuationSeparator" w:id="0">
    <w:p w:rsidR="00D24E9D" w:rsidRDefault="00D24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204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4B5CEA"/>
    <w:multiLevelType w:val="hybridMultilevel"/>
    <w:tmpl w:val="9A3A1662"/>
    <w:lvl w:ilvl="0" w:tplc="D2E675A4">
      <w:start w:val="1"/>
      <w:numFmt w:val="decimal"/>
      <w:lvlText w:val="%1."/>
      <w:lvlJc w:val="left"/>
      <w:pPr>
        <w:ind w:left="36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409B6"/>
    <w:multiLevelType w:val="hybridMultilevel"/>
    <w:tmpl w:val="7C1CE206"/>
    <w:lvl w:ilvl="0" w:tplc="0DD057F6">
      <w:start w:val="1"/>
      <w:numFmt w:val="decimal"/>
      <w:lvlText w:val="%1."/>
      <w:lvlJc w:val="left"/>
      <w:pPr>
        <w:ind w:left="825" w:hanging="465"/>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58697120"/>
    <w:multiLevelType w:val="hybridMultilevel"/>
    <w:tmpl w:val="3904CAF0"/>
    <w:lvl w:ilvl="0" w:tplc="6B9808E2">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0C1951"/>
    <w:multiLevelType w:val="hybridMultilevel"/>
    <w:tmpl w:val="6CF21194"/>
    <w:lvl w:ilvl="0" w:tplc="DC16E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001"/>
  <w:defaultTabStop w:val="708"/>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FB0E00"/>
    <w:rsid w:val="00032DB0"/>
    <w:rsid w:val="00042780"/>
    <w:rsid w:val="0007169F"/>
    <w:rsid w:val="001956C2"/>
    <w:rsid w:val="002A0B10"/>
    <w:rsid w:val="002A4602"/>
    <w:rsid w:val="002A5B6F"/>
    <w:rsid w:val="002D096F"/>
    <w:rsid w:val="002F55D2"/>
    <w:rsid w:val="00384700"/>
    <w:rsid w:val="003F4374"/>
    <w:rsid w:val="004440C3"/>
    <w:rsid w:val="004B0815"/>
    <w:rsid w:val="00540B31"/>
    <w:rsid w:val="00553840"/>
    <w:rsid w:val="00583A8B"/>
    <w:rsid w:val="006016EC"/>
    <w:rsid w:val="006823D9"/>
    <w:rsid w:val="006B7295"/>
    <w:rsid w:val="00721382"/>
    <w:rsid w:val="007832A5"/>
    <w:rsid w:val="007871FA"/>
    <w:rsid w:val="007A081B"/>
    <w:rsid w:val="007A5275"/>
    <w:rsid w:val="007A5CE0"/>
    <w:rsid w:val="00844D65"/>
    <w:rsid w:val="0085184A"/>
    <w:rsid w:val="008F17F1"/>
    <w:rsid w:val="00915094"/>
    <w:rsid w:val="009410D4"/>
    <w:rsid w:val="0095627A"/>
    <w:rsid w:val="00982DDD"/>
    <w:rsid w:val="009A5DF1"/>
    <w:rsid w:val="009A7D4A"/>
    <w:rsid w:val="009D036C"/>
    <w:rsid w:val="009D4477"/>
    <w:rsid w:val="00A4345E"/>
    <w:rsid w:val="00A4557C"/>
    <w:rsid w:val="00A83859"/>
    <w:rsid w:val="00A83FDD"/>
    <w:rsid w:val="00A87ACF"/>
    <w:rsid w:val="00AE7C97"/>
    <w:rsid w:val="00AF3A76"/>
    <w:rsid w:val="00B25D72"/>
    <w:rsid w:val="00B4213A"/>
    <w:rsid w:val="00B67B51"/>
    <w:rsid w:val="00B91FE2"/>
    <w:rsid w:val="00B96BA5"/>
    <w:rsid w:val="00B97E83"/>
    <w:rsid w:val="00BA59DC"/>
    <w:rsid w:val="00C4094D"/>
    <w:rsid w:val="00C878CF"/>
    <w:rsid w:val="00D0122C"/>
    <w:rsid w:val="00D236B3"/>
    <w:rsid w:val="00D24E9D"/>
    <w:rsid w:val="00D44304"/>
    <w:rsid w:val="00D92341"/>
    <w:rsid w:val="00E3607A"/>
    <w:rsid w:val="00E62922"/>
    <w:rsid w:val="00E840D7"/>
    <w:rsid w:val="00EA1A10"/>
    <w:rsid w:val="00EC1CD0"/>
    <w:rsid w:val="00F451C4"/>
    <w:rsid w:val="00F55F6E"/>
    <w:rsid w:val="00F83F83"/>
    <w:rsid w:val="00FB0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7C97"/>
    <w:rPr>
      <w:rFonts w:eastAsia="Times New Roman"/>
      <w:sz w:val="24"/>
      <w:szCs w:val="24"/>
      <w:lang w:val="en-S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itleICCC2016">
    <w:name w:val="Title_ICCC2016"/>
    <w:rsid w:val="00BA59DC"/>
    <w:pPr>
      <w:jc w:val="center"/>
    </w:pPr>
    <w:rPr>
      <w:rFonts w:ascii="Arial" w:hAnsi="Arial" w:cs="Arial"/>
      <w:b/>
      <w:sz w:val="32"/>
      <w:szCs w:val="32"/>
      <w:lang w:val="fr-FR" w:eastAsia="fr-FR"/>
    </w:rPr>
  </w:style>
  <w:style w:type="paragraph" w:customStyle="1" w:styleId="AbstractICCC2016">
    <w:name w:val="Abstract_ICCC2016"/>
    <w:basedOn w:val="a"/>
    <w:rsid w:val="002D096F"/>
    <w:pPr>
      <w:spacing w:before="40" w:line="360" w:lineRule="auto"/>
    </w:pPr>
    <w:rPr>
      <w:rFonts w:ascii="Arial" w:hAnsi="Arial" w:cs="Courier New"/>
      <w:szCs w:val="20"/>
      <w:lang w:val="en-US"/>
    </w:rPr>
  </w:style>
  <w:style w:type="paragraph" w:customStyle="1" w:styleId="AuthorICCC2016">
    <w:name w:val="Author_ICCC2016"/>
    <w:rsid w:val="002D096F"/>
    <w:pPr>
      <w:jc w:val="center"/>
    </w:pPr>
    <w:rPr>
      <w:rFonts w:ascii="Arial" w:hAnsi="Arial" w:cs="Arial"/>
      <w:sz w:val="24"/>
      <w:szCs w:val="24"/>
      <w:lang w:eastAsia="fr-FR"/>
    </w:rPr>
  </w:style>
  <w:style w:type="paragraph" w:customStyle="1" w:styleId="StyleArial16ptGrasCentr">
    <w:name w:val="Style Arial 16 pt Gras Centré"/>
    <w:basedOn w:val="a"/>
    <w:rsid w:val="002D096F"/>
    <w:pPr>
      <w:spacing w:after="360"/>
      <w:jc w:val="center"/>
    </w:pPr>
    <w:rPr>
      <w:rFonts w:ascii="Arial" w:hAnsi="Arial"/>
      <w:b/>
      <w:bCs/>
      <w:sz w:val="32"/>
      <w:szCs w:val="20"/>
      <w:lang w:val="en-US"/>
    </w:rPr>
  </w:style>
  <w:style w:type="paragraph" w:styleId="a3">
    <w:name w:val="header"/>
    <w:basedOn w:val="a"/>
    <w:rsid w:val="00BA59DC"/>
    <w:pPr>
      <w:tabs>
        <w:tab w:val="center" w:pos="4536"/>
        <w:tab w:val="right" w:pos="9072"/>
      </w:tabs>
    </w:pPr>
  </w:style>
  <w:style w:type="paragraph" w:styleId="a4">
    <w:name w:val="footer"/>
    <w:basedOn w:val="a"/>
    <w:rsid w:val="00BA59DC"/>
    <w:pPr>
      <w:tabs>
        <w:tab w:val="center" w:pos="4536"/>
        <w:tab w:val="right" w:pos="9072"/>
      </w:tabs>
    </w:pPr>
  </w:style>
  <w:style w:type="character" w:customStyle="1" w:styleId="PresentingAuthorICCC2016">
    <w:name w:val="Presenting_Author_ICCC2016"/>
    <w:rsid w:val="00BA59DC"/>
    <w:rPr>
      <w:rFonts w:ascii="Arial" w:hAnsi="Arial" w:cs="Arial"/>
      <w:sz w:val="24"/>
      <w:szCs w:val="24"/>
      <w:u w:val="single"/>
      <w:lang w:val="en-GB"/>
    </w:rPr>
  </w:style>
  <w:style w:type="paragraph" w:customStyle="1" w:styleId="AddressICCC2016">
    <w:name w:val="Address_ICCC2016"/>
    <w:rsid w:val="002D096F"/>
    <w:pPr>
      <w:spacing w:before="40"/>
      <w:jc w:val="center"/>
    </w:pPr>
    <w:rPr>
      <w:rFonts w:ascii="Arial" w:hAnsi="Arial" w:cs="Courier New"/>
      <w:sz w:val="24"/>
      <w:lang w:eastAsia="fr-FR"/>
    </w:rPr>
  </w:style>
  <w:style w:type="paragraph" w:customStyle="1" w:styleId="CorrespondingAuthorICCC2016">
    <w:name w:val="Corresponding_Author_ICCC2016"/>
    <w:basedOn w:val="a"/>
    <w:rsid w:val="002D096F"/>
    <w:pPr>
      <w:spacing w:before="40" w:after="360"/>
      <w:jc w:val="center"/>
    </w:pPr>
    <w:rPr>
      <w:rFonts w:ascii="Arial" w:hAnsi="Arial" w:cs="Courier New"/>
      <w:szCs w:val="20"/>
      <w:lang w:val="en-US"/>
    </w:rPr>
  </w:style>
  <w:style w:type="paragraph" w:customStyle="1" w:styleId="ReferencesICCC2016">
    <w:name w:val="References_ICCC2016"/>
    <w:rsid w:val="00AF3A76"/>
    <w:rPr>
      <w:rFonts w:ascii="Arial" w:hAnsi="Arial" w:cs="Courier New"/>
      <w:lang w:val="en-GB" w:eastAsia="fr-FR"/>
    </w:rPr>
  </w:style>
  <w:style w:type="paragraph" w:customStyle="1" w:styleId="FigureICCC2016">
    <w:name w:val="Figure_ICCC2016"/>
    <w:rsid w:val="00AF3A76"/>
    <w:pPr>
      <w:spacing w:after="240"/>
    </w:pPr>
    <w:rPr>
      <w:rFonts w:ascii="Arial" w:hAnsi="Arial" w:cs="Courier New"/>
      <w:b/>
      <w:sz w:val="24"/>
      <w:lang w:val="en-GB" w:eastAsia="fr-FR"/>
    </w:rPr>
  </w:style>
  <w:style w:type="character" w:customStyle="1" w:styleId="FigureCaption-ICCC2016">
    <w:name w:val="Figure_Caption-ICCC2016"/>
    <w:basedOn w:val="a0"/>
    <w:rsid w:val="00032DB0"/>
  </w:style>
  <w:style w:type="character" w:customStyle="1" w:styleId="ReferenceYearICCC2016">
    <w:name w:val="Reference_Year_ICCC2016"/>
    <w:rsid w:val="007871FA"/>
    <w:rPr>
      <w:rFonts w:ascii="Arial" w:hAnsi="Arial"/>
      <w:b/>
      <w:sz w:val="20"/>
    </w:rPr>
  </w:style>
  <w:style w:type="character" w:customStyle="1" w:styleId="Reference-Journal-volumelICCC2016">
    <w:name w:val="Reference-Journal-volumel_ICCC2016"/>
    <w:rsid w:val="00032DB0"/>
    <w:rPr>
      <w:rFonts w:ascii="Arial" w:hAnsi="Arial"/>
      <w:i/>
      <w:sz w:val="20"/>
    </w:rPr>
  </w:style>
  <w:style w:type="paragraph" w:styleId="a5">
    <w:name w:val="Balloon Text"/>
    <w:basedOn w:val="a"/>
    <w:link w:val="Char"/>
    <w:rsid w:val="00540B31"/>
    <w:rPr>
      <w:rFonts w:ascii="Yu Gothic Light" w:eastAsia="Yu Gothic Light" w:hAnsi="Yu Gothic Light"/>
      <w:sz w:val="18"/>
      <w:szCs w:val="18"/>
    </w:rPr>
  </w:style>
  <w:style w:type="character" w:customStyle="1" w:styleId="Char">
    <w:name w:val="批注框文本 Char"/>
    <w:link w:val="a5"/>
    <w:rsid w:val="00540B31"/>
    <w:rPr>
      <w:rFonts w:ascii="Yu Gothic Light" w:eastAsia="Yu Gothic Light" w:hAnsi="Yu Gothic Light" w:cs="Times New Roman"/>
      <w:sz w:val="18"/>
      <w:szCs w:val="18"/>
      <w:lang w:val="fr-FR" w:eastAsia="fr-FR"/>
    </w:rPr>
  </w:style>
  <w:style w:type="paragraph" w:styleId="a6">
    <w:name w:val="footnote text"/>
    <w:basedOn w:val="a"/>
    <w:link w:val="Char0"/>
    <w:unhideWhenUsed/>
    <w:rsid w:val="00F83F83"/>
    <w:rPr>
      <w:rFonts w:eastAsia="宋体"/>
      <w:sz w:val="18"/>
      <w:szCs w:val="18"/>
      <w:lang/>
    </w:rPr>
  </w:style>
  <w:style w:type="character" w:customStyle="1" w:styleId="Char0">
    <w:name w:val="脚注文本 Char"/>
    <w:link w:val="a6"/>
    <w:rsid w:val="00F83F83"/>
    <w:rPr>
      <w:rFonts w:eastAsia="宋体"/>
      <w:sz w:val="18"/>
      <w:szCs w:val="18"/>
      <w:lang/>
    </w:rPr>
  </w:style>
  <w:style w:type="paragraph" w:styleId="-1">
    <w:name w:val="Colorful List Accent 1"/>
    <w:basedOn w:val="a"/>
    <w:uiPriority w:val="34"/>
    <w:qFormat/>
    <w:rsid w:val="00F83F83"/>
    <w:pPr>
      <w:spacing w:after="200" w:line="276" w:lineRule="auto"/>
      <w:ind w:left="720"/>
      <w:contextualSpacing/>
    </w:pPr>
    <w:rPr>
      <w:rFonts w:ascii="Calibri" w:eastAsia="Calibri" w:hAnsi="Calibri"/>
      <w:sz w:val="22"/>
      <w:szCs w:val="22"/>
      <w:lang w:val="en-GB" w:eastAsia="en-US"/>
    </w:rPr>
  </w:style>
  <w:style w:type="character" w:customStyle="1" w:styleId="article-headermeta-info-label">
    <w:name w:val="article-header__meta-info-label"/>
    <w:rsid w:val="00F83F83"/>
  </w:style>
  <w:style w:type="character" w:customStyle="1" w:styleId="article-headermeta-info-data">
    <w:name w:val="article-header__meta-info-data"/>
    <w:rsid w:val="00F83F83"/>
  </w:style>
  <w:style w:type="character" w:styleId="a7">
    <w:name w:val="Hyperlink"/>
    <w:rsid w:val="002A4602"/>
    <w:rPr>
      <w:color w:val="0000FF"/>
      <w:u w:val="single"/>
    </w:rPr>
  </w:style>
  <w:style w:type="paragraph" w:customStyle="1" w:styleId="a8">
    <w:name w:val="*论文正文*"/>
    <w:basedOn w:val="a"/>
    <w:rsid w:val="00915094"/>
    <w:pPr>
      <w:spacing w:line="312" w:lineRule="auto"/>
      <w:ind w:firstLineChars="200" w:firstLine="200"/>
    </w:pPr>
    <w:rPr>
      <w:szCs w:val="21"/>
      <w:lang w:eastAsia="en-US"/>
    </w:rPr>
  </w:style>
  <w:style w:type="character" w:customStyle="1" w:styleId="UnresolvedMention">
    <w:name w:val="Unresolved Mention"/>
    <w:uiPriority w:val="99"/>
    <w:semiHidden/>
    <w:unhideWhenUsed/>
    <w:rsid w:val="009150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04114">
      <w:bodyDiv w:val="1"/>
      <w:marLeft w:val="0"/>
      <w:marRight w:val="0"/>
      <w:marTop w:val="0"/>
      <w:marBottom w:val="0"/>
      <w:divBdr>
        <w:top w:val="none" w:sz="0" w:space="0" w:color="auto"/>
        <w:left w:val="none" w:sz="0" w:space="0" w:color="auto"/>
        <w:bottom w:val="none" w:sz="0" w:space="0" w:color="auto"/>
        <w:right w:val="none" w:sz="0" w:space="0" w:color="auto"/>
      </w:divBdr>
    </w:div>
    <w:div w:id="215360866">
      <w:bodyDiv w:val="1"/>
      <w:marLeft w:val="0"/>
      <w:marRight w:val="0"/>
      <w:marTop w:val="0"/>
      <w:marBottom w:val="0"/>
      <w:divBdr>
        <w:top w:val="none" w:sz="0" w:space="0" w:color="auto"/>
        <w:left w:val="none" w:sz="0" w:space="0" w:color="auto"/>
        <w:bottom w:val="none" w:sz="0" w:space="0" w:color="auto"/>
        <w:right w:val="none" w:sz="0" w:space="0" w:color="auto"/>
      </w:divBdr>
    </w:div>
    <w:div w:id="332268578">
      <w:bodyDiv w:val="1"/>
      <w:marLeft w:val="0"/>
      <w:marRight w:val="0"/>
      <w:marTop w:val="0"/>
      <w:marBottom w:val="0"/>
      <w:divBdr>
        <w:top w:val="none" w:sz="0" w:space="0" w:color="auto"/>
        <w:left w:val="none" w:sz="0" w:space="0" w:color="auto"/>
        <w:bottom w:val="none" w:sz="0" w:space="0" w:color="auto"/>
        <w:right w:val="none" w:sz="0" w:space="0" w:color="auto"/>
      </w:divBdr>
    </w:div>
    <w:div w:id="412169080">
      <w:bodyDiv w:val="1"/>
      <w:marLeft w:val="0"/>
      <w:marRight w:val="0"/>
      <w:marTop w:val="0"/>
      <w:marBottom w:val="0"/>
      <w:divBdr>
        <w:top w:val="none" w:sz="0" w:space="0" w:color="auto"/>
        <w:left w:val="none" w:sz="0" w:space="0" w:color="auto"/>
        <w:bottom w:val="none" w:sz="0" w:space="0" w:color="auto"/>
        <w:right w:val="none" w:sz="0" w:space="0" w:color="auto"/>
      </w:divBdr>
    </w:div>
    <w:div w:id="671222417">
      <w:bodyDiv w:val="1"/>
      <w:marLeft w:val="0"/>
      <w:marRight w:val="0"/>
      <w:marTop w:val="0"/>
      <w:marBottom w:val="0"/>
      <w:divBdr>
        <w:top w:val="none" w:sz="0" w:space="0" w:color="auto"/>
        <w:left w:val="none" w:sz="0" w:space="0" w:color="auto"/>
        <w:bottom w:val="none" w:sz="0" w:space="0" w:color="auto"/>
        <w:right w:val="none" w:sz="0" w:space="0" w:color="auto"/>
      </w:divBdr>
    </w:div>
    <w:div w:id="801263656">
      <w:bodyDiv w:val="1"/>
      <w:marLeft w:val="0"/>
      <w:marRight w:val="0"/>
      <w:marTop w:val="0"/>
      <w:marBottom w:val="0"/>
      <w:divBdr>
        <w:top w:val="none" w:sz="0" w:space="0" w:color="auto"/>
        <w:left w:val="none" w:sz="0" w:space="0" w:color="auto"/>
        <w:bottom w:val="none" w:sz="0" w:space="0" w:color="auto"/>
        <w:right w:val="none" w:sz="0" w:space="0" w:color="auto"/>
      </w:divBdr>
    </w:div>
    <w:div w:id="901914614">
      <w:bodyDiv w:val="1"/>
      <w:marLeft w:val="0"/>
      <w:marRight w:val="0"/>
      <w:marTop w:val="0"/>
      <w:marBottom w:val="0"/>
      <w:divBdr>
        <w:top w:val="none" w:sz="0" w:space="0" w:color="auto"/>
        <w:left w:val="none" w:sz="0" w:space="0" w:color="auto"/>
        <w:bottom w:val="none" w:sz="0" w:space="0" w:color="auto"/>
        <w:right w:val="none" w:sz="0" w:space="0" w:color="auto"/>
      </w:divBdr>
    </w:div>
    <w:div w:id="1031998675">
      <w:bodyDiv w:val="1"/>
      <w:marLeft w:val="0"/>
      <w:marRight w:val="0"/>
      <w:marTop w:val="0"/>
      <w:marBottom w:val="0"/>
      <w:divBdr>
        <w:top w:val="none" w:sz="0" w:space="0" w:color="auto"/>
        <w:left w:val="none" w:sz="0" w:space="0" w:color="auto"/>
        <w:bottom w:val="none" w:sz="0" w:space="0" w:color="auto"/>
        <w:right w:val="none" w:sz="0" w:space="0" w:color="auto"/>
      </w:divBdr>
    </w:div>
    <w:div w:id="1321228956">
      <w:bodyDiv w:val="1"/>
      <w:marLeft w:val="0"/>
      <w:marRight w:val="0"/>
      <w:marTop w:val="0"/>
      <w:marBottom w:val="0"/>
      <w:divBdr>
        <w:top w:val="none" w:sz="0" w:space="0" w:color="auto"/>
        <w:left w:val="none" w:sz="0" w:space="0" w:color="auto"/>
        <w:bottom w:val="none" w:sz="0" w:space="0" w:color="auto"/>
        <w:right w:val="none" w:sz="0" w:space="0" w:color="auto"/>
      </w:divBdr>
    </w:div>
    <w:div w:id="1608928826">
      <w:bodyDiv w:val="1"/>
      <w:marLeft w:val="0"/>
      <w:marRight w:val="0"/>
      <w:marTop w:val="0"/>
      <w:marBottom w:val="0"/>
      <w:divBdr>
        <w:top w:val="none" w:sz="0" w:space="0" w:color="auto"/>
        <w:left w:val="none" w:sz="0" w:space="0" w:color="auto"/>
        <w:bottom w:val="none" w:sz="0" w:space="0" w:color="auto"/>
        <w:right w:val="none" w:sz="0" w:space="0" w:color="auto"/>
      </w:divBdr>
    </w:div>
    <w:div w:id="1632398881">
      <w:bodyDiv w:val="1"/>
      <w:marLeft w:val="0"/>
      <w:marRight w:val="0"/>
      <w:marTop w:val="0"/>
      <w:marBottom w:val="0"/>
      <w:divBdr>
        <w:top w:val="none" w:sz="0" w:space="0" w:color="auto"/>
        <w:left w:val="none" w:sz="0" w:space="0" w:color="auto"/>
        <w:bottom w:val="none" w:sz="0" w:space="0" w:color="auto"/>
        <w:right w:val="none" w:sz="0" w:space="0" w:color="auto"/>
      </w:divBdr>
    </w:div>
    <w:div w:id="1845583644">
      <w:bodyDiv w:val="1"/>
      <w:marLeft w:val="0"/>
      <w:marRight w:val="0"/>
      <w:marTop w:val="0"/>
      <w:marBottom w:val="0"/>
      <w:divBdr>
        <w:top w:val="none" w:sz="0" w:space="0" w:color="auto"/>
        <w:left w:val="none" w:sz="0" w:space="0" w:color="auto"/>
        <w:bottom w:val="none" w:sz="0" w:space="0" w:color="auto"/>
        <w:right w:val="none" w:sz="0" w:space="0" w:color="auto"/>
      </w:divBdr>
    </w:div>
    <w:div w:id="1992244365">
      <w:bodyDiv w:val="1"/>
      <w:marLeft w:val="0"/>
      <w:marRight w:val="0"/>
      <w:marTop w:val="0"/>
      <w:marBottom w:val="0"/>
      <w:divBdr>
        <w:top w:val="none" w:sz="0" w:space="0" w:color="auto"/>
        <w:left w:val="none" w:sz="0" w:space="0" w:color="auto"/>
        <w:bottom w:val="none" w:sz="0" w:space="0" w:color="auto"/>
        <w:right w:val="none" w:sz="0" w:space="0" w:color="auto"/>
      </w:divBdr>
    </w:div>
    <w:div w:id="21227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rxu@ntu.edu.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(bold, centered, single space, arial 16)</vt:lpstr>
    </vt:vector>
  </TitlesOfParts>
  <Company>Université de Rennes 1</Company>
  <LinksUpToDate>false</LinksUpToDate>
  <CharactersWithSpaces>4662</CharactersWithSpaces>
  <SharedDoc>false</SharedDoc>
  <HLinks>
    <vt:vector size="12" baseType="variant">
      <vt:variant>
        <vt:i4>1900642</vt:i4>
      </vt:variant>
      <vt:variant>
        <vt:i4>3</vt:i4>
      </vt:variant>
      <vt:variant>
        <vt:i4>0</vt:i4>
      </vt:variant>
      <vt:variant>
        <vt:i4>5</vt:i4>
      </vt:variant>
      <vt:variant>
        <vt:lpwstr>mailto:rxu@ntu.edu.sg</vt:lpwstr>
      </vt:variant>
      <vt:variant>
        <vt:lpwstr/>
      </vt:variant>
      <vt:variant>
        <vt:i4>1900642</vt:i4>
      </vt:variant>
      <vt:variant>
        <vt:i4>0</vt:i4>
      </vt:variant>
      <vt:variant>
        <vt:i4>0</vt:i4>
      </vt:variant>
      <vt:variant>
        <vt:i4>5</vt:i4>
      </vt:variant>
      <vt:variant>
        <vt:lpwstr>mailto:rxu@ntu.edu.sg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(bold, centered, single space, arial 16)</dc:title>
  <dc:creator>Stéphane Golhen</dc:creator>
  <cp:lastModifiedBy>Administrator</cp:lastModifiedBy>
  <cp:revision>2</cp:revision>
  <cp:lastPrinted>2018-02-20T06:39:00Z</cp:lastPrinted>
  <dcterms:created xsi:type="dcterms:W3CDTF">2019-06-11T02:46:00Z</dcterms:created>
  <dcterms:modified xsi:type="dcterms:W3CDTF">2019-06-11T02:46:00Z</dcterms:modified>
</cp:coreProperties>
</file>